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Default="00CE1A18" w:rsidP="009A57E8">
      <w:pPr>
        <w:widowControl w:val="0"/>
        <w:ind w:left="7088"/>
        <w:rPr>
          <w:rFonts w:ascii="Times New Roman" w:hAnsi="Times New Roman" w:cs="Times New Roman"/>
        </w:rPr>
      </w:pPr>
      <w:r>
        <w:rPr>
          <w:rFonts w:ascii="Times New Roman" w:hAnsi="Times New Roman" w:cs="Times New Roman"/>
        </w:rPr>
        <w:t>Приложение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решению Совета </w:t>
      </w:r>
      <w:r w:rsidR="002C3605">
        <w:rPr>
          <w:rFonts w:ascii="Times New Roman" w:hAnsi="Times New Roman" w:cs="Times New Roman"/>
        </w:rPr>
        <w:t xml:space="preserve">сельского поселения </w:t>
      </w:r>
      <w:r w:rsidR="00A26B04" w:rsidRPr="00A26B04">
        <w:rPr>
          <w:rFonts w:ascii="Times New Roman" w:hAnsi="Times New Roman" w:cs="Times New Roman"/>
        </w:rPr>
        <w:t>Норкинский</w:t>
      </w:r>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от _____________201</w:t>
      </w:r>
      <w:r w:rsidR="002C3605">
        <w:rPr>
          <w:rFonts w:ascii="Times New Roman" w:hAnsi="Times New Roman" w:cs="Times New Roman"/>
        </w:rPr>
        <w:t>8</w:t>
      </w:r>
      <w:r>
        <w:rPr>
          <w:rFonts w:ascii="Times New Roman" w:hAnsi="Times New Roman" w:cs="Times New Roman"/>
        </w:rPr>
        <w:t xml:space="preserve"> №____</w:t>
      </w:r>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r w:rsidR="00A26B04" w:rsidRPr="00A26B04">
        <w:rPr>
          <w:rFonts w:ascii="Times New Roman" w:hAnsi="Times New Roman" w:cs="Times New Roman"/>
          <w:b/>
        </w:rPr>
        <w:t>Норкинский</w:t>
      </w:r>
      <w:bookmarkStart w:id="0" w:name="_GoBack"/>
      <w:bookmarkEnd w:id="0"/>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муниципального района Балтачевский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firstRow="1" w:lastRow="0" w:firstColumn="1" w:lastColumn="0" w:noHBand="0" w:noVBand="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firstRow="0" w:lastRow="0" w:firstColumn="0" w:lastColumn="0" w:noHBand="0" w:noVBand="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r w:rsidRPr="00B74705">
        <w:rPr>
          <w:rFonts w:ascii="Times New Roman" w:hAnsi="Times New Roman" w:cs="Times New Roman"/>
        </w:rPr>
        <w:lastRenderedPageBreak/>
        <w:t xml:space="preserve">застроенность,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кВ,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9"/>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firstRow="1" w:lastRow="0" w:firstColumn="1" w:lastColumn="0" w:noHBand="0" w:noVBand="1"/>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водоохранными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2C3605"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 xml:space="preserve">СП 14.13330.2014 Строительство в сейсмических районах (актуализированного </w:t>
      </w:r>
      <w:r>
        <w:rPr>
          <w:rFonts w:ascii="Times New Roman" w:hAnsi="Times New Roman" w:cs="Times New Roman"/>
          <w:b w:val="0"/>
          <w:color w:val="000000" w:themeColor="text1"/>
          <w:sz w:val="24"/>
        </w:rPr>
        <w:t xml:space="preserve">            </w:t>
      </w:r>
      <w:r w:rsidRPr="00061514">
        <w:rPr>
          <w:rFonts w:ascii="Times New Roman" w:hAnsi="Times New Roman" w:cs="Times New Roman"/>
          <w:b w:val="0"/>
          <w:color w:val="000000" w:themeColor="text1"/>
          <w:sz w:val="24"/>
        </w:rPr>
        <w:t>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41" w:rsidRDefault="001C2E41" w:rsidP="00CE1A18">
      <w:r>
        <w:separator/>
      </w:r>
    </w:p>
  </w:endnote>
  <w:endnote w:type="continuationSeparator" w:id="0">
    <w:p w:rsidR="001C2E41" w:rsidRDefault="001C2E41" w:rsidP="00C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6012"/>
      <w:docPartObj>
        <w:docPartGallery w:val="Page Numbers (Bottom of Page)"/>
        <w:docPartUnique/>
      </w:docPartObj>
    </w:sdtPr>
    <w:sdtEndPr/>
    <w:sdtContent>
      <w:p w:rsidR="002C3605" w:rsidRDefault="002C3605">
        <w:pPr>
          <w:pStyle w:val="ad"/>
          <w:jc w:val="right"/>
        </w:pPr>
        <w:r>
          <w:fldChar w:fldCharType="begin"/>
        </w:r>
        <w:r>
          <w:instrText>PAGE   \* MERGEFORMAT</w:instrText>
        </w:r>
        <w:r>
          <w:fldChar w:fldCharType="separate"/>
        </w:r>
        <w:r w:rsidR="00A26B04">
          <w:rPr>
            <w:noProof/>
          </w:rPr>
          <w:t>159</w:t>
        </w:r>
        <w:r>
          <w:fldChar w:fldCharType="end"/>
        </w:r>
      </w:p>
    </w:sdtContent>
  </w:sdt>
  <w:p w:rsidR="002C3605" w:rsidRDefault="002C36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41" w:rsidRDefault="001C2E41" w:rsidP="00CE1A18">
      <w:r>
        <w:separator/>
      </w:r>
    </w:p>
  </w:footnote>
  <w:footnote w:type="continuationSeparator" w:id="0">
    <w:p w:rsidR="001C2E41" w:rsidRDefault="001C2E41" w:rsidP="00CE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2E41"/>
    <w:rsid w:val="001C5C2A"/>
    <w:rsid w:val="002043AD"/>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7068EE"/>
    <w:rsid w:val="00747217"/>
    <w:rsid w:val="007830A6"/>
    <w:rsid w:val="007B4A0A"/>
    <w:rsid w:val="007B7A49"/>
    <w:rsid w:val="007C468D"/>
    <w:rsid w:val="00824DF7"/>
    <w:rsid w:val="0083573D"/>
    <w:rsid w:val="00884C5D"/>
    <w:rsid w:val="008E2183"/>
    <w:rsid w:val="009427B1"/>
    <w:rsid w:val="009435E2"/>
    <w:rsid w:val="009A57E8"/>
    <w:rsid w:val="009B43D0"/>
    <w:rsid w:val="009E1292"/>
    <w:rsid w:val="00A111B4"/>
    <w:rsid w:val="00A26B04"/>
    <w:rsid w:val="00A67C8A"/>
    <w:rsid w:val="00AA464C"/>
    <w:rsid w:val="00B21E47"/>
    <w:rsid w:val="00B53419"/>
    <w:rsid w:val="00B74705"/>
    <w:rsid w:val="00B83241"/>
    <w:rsid w:val="00BA0146"/>
    <w:rsid w:val="00C14020"/>
    <w:rsid w:val="00C44C17"/>
    <w:rsid w:val="00C50B75"/>
    <w:rsid w:val="00C610BA"/>
    <w:rsid w:val="00C726CA"/>
    <w:rsid w:val="00C86A37"/>
    <w:rsid w:val="00CD531C"/>
    <w:rsid w:val="00CE1A18"/>
    <w:rsid w:val="00D4057F"/>
    <w:rsid w:val="00DA35B5"/>
    <w:rsid w:val="00DC1EDB"/>
    <w:rsid w:val="00E0620A"/>
    <w:rsid w:val="00E2066D"/>
    <w:rsid w:val="00E25964"/>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696A-EC33-494C-AB6C-71951872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81938</Words>
  <Characters>467050</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cp:lastPrinted>2016-12-01T10:50:00Z</cp:lastPrinted>
  <dcterms:created xsi:type="dcterms:W3CDTF">2018-07-30T09:35:00Z</dcterms:created>
  <dcterms:modified xsi:type="dcterms:W3CDTF">2018-07-30T10:23:00Z</dcterms:modified>
</cp:coreProperties>
</file>